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C2" w:rsidRPr="004933C2" w:rsidRDefault="004933C2" w:rsidP="004933C2">
      <w:pPr>
        <w:spacing w:before="0" w:after="0" w:line="360" w:lineRule="auto"/>
        <w:jc w:val="center"/>
        <w:rPr>
          <w:rFonts w:eastAsia="Times New Roman" w:cs="Times New Roman"/>
          <w:b/>
          <w:kern w:val="0"/>
          <w:szCs w:val="24"/>
          <w:lang w:eastAsia="fr-FR"/>
          <w14:ligatures w14:val="none"/>
          <w14:numForm w14:val="default"/>
          <w14:numSpacing w14:val="default"/>
        </w:rPr>
      </w:pPr>
      <w:r>
        <w:rPr>
          <w:rFonts w:eastAsia="Times New Roman" w:cs="Times New Roman"/>
          <w:b/>
          <w:kern w:val="0"/>
          <w:szCs w:val="24"/>
          <w:lang w:eastAsia="fr-FR"/>
          <w14:ligatures w14:val="none"/>
          <w14:numForm w14:val="default"/>
          <w14:numSpacing w14:val="default"/>
        </w:rPr>
        <w:t>Correction proposée – Faire le tri</w:t>
      </w:r>
    </w:p>
    <w:p w:rsidR="004933C2" w:rsidRDefault="004933C2" w:rsidP="004933C2">
      <w:pPr>
        <w:spacing w:before="0" w:after="0" w:line="360" w:lineRule="auto"/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</w:pPr>
    </w:p>
    <w:p w:rsidR="004933C2" w:rsidRPr="004933C2" w:rsidRDefault="004933C2" w:rsidP="004933C2">
      <w:pPr>
        <w:spacing w:before="0" w:after="0" w:line="360" w:lineRule="auto"/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</w:pPr>
      <w:r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« 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Nous allons commencer par la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France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, emblématique du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modèle européen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, c’est-à-dire celui des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vins de terroir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. La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grande variété des climats et des sols français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, assez uniques dans le monde, donne à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chaque vin ses caractéristiques spécifiques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. La craie que l’on trouve dans les sols en Champagne et dans le Val de Loire donne ainsi de la finesse au vin et permet d’exprimer le </w:t>
      </w:r>
      <w:proofErr w:type="gramStart"/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fruité</w:t>
      </w:r>
      <w:proofErr w:type="gramEnd"/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des raisins. Alors que les Graves ou Galets de Bordeaux donnent des fruits riches en sucre. La France a développé une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politique d’Appellation d’origine contrôlée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, les fameuses AOC,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devenues AOP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, que vous voyez ici apparaître en rouge. En outre, le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prestige de ces grands crus et le marketing assoient sa réputation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et lui permettent d’être le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premier exportateur de vin dans le monde en valeur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.</w:t>
      </w:r>
    </w:p>
    <w:p w:rsidR="004933C2" w:rsidRPr="004933C2" w:rsidRDefault="004933C2" w:rsidP="004933C2">
      <w:pPr>
        <w:spacing w:before="0" w:after="0" w:line="360" w:lineRule="auto"/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Et à présent, nous allons partir pour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l’Australie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. Là-bas, la vigne s’étend principalement dans les trois États du sud du pays : Australie méridionale, Nouvelle</w:t>
      </w:r>
      <w:bookmarkStart w:id="0" w:name="_GoBack"/>
      <w:bookmarkEnd w:id="0"/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s-Galles du Sud et Victoria dans les vallées que vous voyez sur la carte. La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superficie du vignoble australien a doublé en 20 ans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. Le pays est devenu l’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un des principaux acteurs des vins de cépage du Nouveau Monde avec le Chili, la Californie et l’Afrique du Sud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. Il produit des vins au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goût standardisé pour satisfaire une clientèle mondiale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. Le plus répandu est le Syrah ou </w:t>
      </w:r>
      <w:proofErr w:type="spellStart"/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Shiraz</w:t>
      </w:r>
      <w:proofErr w:type="spellEnd"/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. Mais le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recours massif à l’irrigation, lié aux récentes sécheresses, entraîne la pollution et la salinisation des eaux et l’abaissement du niveau des nappes phréatiques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.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L’État australien soutient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ce secteur stratégique de son économie, notamment avec des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aides fiscales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. Alors que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60 % de la récolte est exportée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, il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dénonce les AOP françaises comme une atteinte à la libre concurrence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. Comme tous les grands pays producteurs, Français et Australiens se livrent une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guerre commerciale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sans merci pour le dernier arrivé sur la scène viticole : la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Chine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.</w:t>
      </w:r>
    </w:p>
    <w:p w:rsidR="004933C2" w:rsidRPr="004933C2" w:rsidRDefault="004933C2" w:rsidP="004933C2">
      <w:pPr>
        <w:spacing w:before="0" w:after="0" w:line="360" w:lineRule="auto"/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Le pays a aujourd’hui le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deuxième vignoble au monde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, principalement situé dans les régions du nord-ouest et du nord-est. De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qualité encore médiocre, les vins chinois s’améliorent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pourtant progressivement. Et le marketing, comme partout, fait des merveilles. Sur le contrefort de l’Himalaya, le groupe LVMH produit un Cabernet-Sauvignon, le </w:t>
      </w:r>
      <w:proofErr w:type="spellStart"/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Ao</w:t>
      </w:r>
      <w:proofErr w:type="spellEnd"/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Yun, ou « voler au-dessus des nuages » en mandarin, à 300 euros la bouteille. Vous voyez ici les quatre villages en altitude où ce vin est produit. </w:t>
      </w:r>
    </w:p>
    <w:p w:rsidR="00C56ED7" w:rsidRPr="004933C2" w:rsidRDefault="004933C2" w:rsidP="004933C2">
      <w:pPr>
        <w:spacing w:before="0" w:after="0" w:line="360" w:lineRule="auto"/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</w:pP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L’engouement chinois profite aux producteurs du monde entier et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recentre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, vous le voyez,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la géographie du vin sur l’Asie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. Regardez les importations chinoises de vin en 2016 : les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grands producteurs,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 xml:space="preserve"> la France, le Chili, l’Australie, l’Espagne, l’Italie, l’Afrique du Sud et les États-Unis </w:t>
      </w:r>
      <w:r w:rsidRPr="004933C2">
        <w:rPr>
          <w:rFonts w:eastAsia="Times New Roman" w:cs="Times New Roman"/>
          <w:kern w:val="0"/>
          <w:szCs w:val="24"/>
          <w:shd w:val="clear" w:color="auto" w:fill="CCE9FF" w:themeFill="accent4" w:themeFillTint="33"/>
          <w:lang w:eastAsia="fr-FR"/>
          <w14:ligatures w14:val="none"/>
          <w14:numForm w14:val="default"/>
          <w14:numSpacing w14:val="default"/>
        </w:rPr>
        <w:t>y ont trouvé de nouveaux débouchés, tout comme de petites mais anciennes nations vinicoles</w:t>
      </w:r>
      <w:r w:rsidRPr="004933C2"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, la Géorgie et la Moldavie notamment.</w:t>
      </w:r>
      <w:r>
        <w:rPr>
          <w:rFonts w:eastAsia="Times New Roman" w:cs="Times New Roman"/>
          <w:kern w:val="0"/>
          <w:szCs w:val="24"/>
          <w:lang w:eastAsia="fr-FR"/>
          <w14:ligatures w14:val="none"/>
          <w14:numForm w14:val="default"/>
          <w14:numSpacing w14:val="default"/>
        </w:rPr>
        <w:t> »</w:t>
      </w:r>
    </w:p>
    <w:sectPr w:rsidR="00C56ED7" w:rsidRPr="0049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68" w:rsidRDefault="00787968" w:rsidP="004933C2">
      <w:pPr>
        <w:spacing w:before="0" w:after="0" w:line="240" w:lineRule="auto"/>
      </w:pPr>
      <w:r>
        <w:separator/>
      </w:r>
    </w:p>
  </w:endnote>
  <w:endnote w:type="continuationSeparator" w:id="0">
    <w:p w:rsidR="00787968" w:rsidRDefault="00787968" w:rsidP="004933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68" w:rsidRDefault="00787968" w:rsidP="004933C2">
      <w:pPr>
        <w:spacing w:before="0" w:after="0" w:line="240" w:lineRule="auto"/>
      </w:pPr>
      <w:r>
        <w:separator/>
      </w:r>
    </w:p>
  </w:footnote>
  <w:footnote w:type="continuationSeparator" w:id="0">
    <w:p w:rsidR="00787968" w:rsidRDefault="00787968" w:rsidP="004933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0704C6"/>
    <w:multiLevelType w:val="multilevel"/>
    <w:tmpl w:val="3CDA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AE5"/>
    <w:multiLevelType w:val="multilevel"/>
    <w:tmpl w:val="58C84726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4B6DB6"/>
    <w:multiLevelType w:val="hybridMultilevel"/>
    <w:tmpl w:val="63D66FDA"/>
    <w:lvl w:ilvl="0" w:tplc="FB2682E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520F"/>
    <w:multiLevelType w:val="multilevel"/>
    <w:tmpl w:val="DFD45078"/>
    <w:lvl w:ilvl="0">
      <w:start w:val="1"/>
      <w:numFmt w:val="decimal"/>
      <w:pStyle w:val="Titre1dossi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dossi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re3dossi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1B3A4E"/>
    <w:multiLevelType w:val="hybridMultilevel"/>
    <w:tmpl w:val="3D38E292"/>
    <w:lvl w:ilvl="0" w:tplc="8586E684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73B19"/>
    <w:multiLevelType w:val="multilevel"/>
    <w:tmpl w:val="2FF8A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17C40"/>
    <w:multiLevelType w:val="hybridMultilevel"/>
    <w:tmpl w:val="46D4A4D6"/>
    <w:lvl w:ilvl="0" w:tplc="713A4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11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C2"/>
    <w:rsid w:val="00011564"/>
    <w:rsid w:val="00060075"/>
    <w:rsid w:val="0008565E"/>
    <w:rsid w:val="000C0BA2"/>
    <w:rsid w:val="000C0C16"/>
    <w:rsid w:val="00102E35"/>
    <w:rsid w:val="001374D1"/>
    <w:rsid w:val="001C6DD5"/>
    <w:rsid w:val="001D5C8A"/>
    <w:rsid w:val="0025142F"/>
    <w:rsid w:val="002D03E7"/>
    <w:rsid w:val="002D587E"/>
    <w:rsid w:val="00300CFE"/>
    <w:rsid w:val="003633DF"/>
    <w:rsid w:val="003C7C2D"/>
    <w:rsid w:val="003F357F"/>
    <w:rsid w:val="00451209"/>
    <w:rsid w:val="0047235B"/>
    <w:rsid w:val="0049030D"/>
    <w:rsid w:val="004933C2"/>
    <w:rsid w:val="004B0BFC"/>
    <w:rsid w:val="004C067B"/>
    <w:rsid w:val="00525C05"/>
    <w:rsid w:val="00541532"/>
    <w:rsid w:val="00555A76"/>
    <w:rsid w:val="005C3894"/>
    <w:rsid w:val="005C793F"/>
    <w:rsid w:val="005F26C5"/>
    <w:rsid w:val="00680545"/>
    <w:rsid w:val="006C4DA4"/>
    <w:rsid w:val="006D0DDF"/>
    <w:rsid w:val="00783A25"/>
    <w:rsid w:val="00787968"/>
    <w:rsid w:val="007925B8"/>
    <w:rsid w:val="007C4BCB"/>
    <w:rsid w:val="007F10DD"/>
    <w:rsid w:val="0081471A"/>
    <w:rsid w:val="008768C4"/>
    <w:rsid w:val="00880941"/>
    <w:rsid w:val="008B0F3A"/>
    <w:rsid w:val="008E164A"/>
    <w:rsid w:val="009E419B"/>
    <w:rsid w:val="009F2B05"/>
    <w:rsid w:val="00A12E09"/>
    <w:rsid w:val="00A574C7"/>
    <w:rsid w:val="00A74883"/>
    <w:rsid w:val="00AB42C8"/>
    <w:rsid w:val="00B35EB7"/>
    <w:rsid w:val="00BB7179"/>
    <w:rsid w:val="00BC0FA7"/>
    <w:rsid w:val="00BC6600"/>
    <w:rsid w:val="00BE00E1"/>
    <w:rsid w:val="00BF3071"/>
    <w:rsid w:val="00C56ED7"/>
    <w:rsid w:val="00C75451"/>
    <w:rsid w:val="00D111AA"/>
    <w:rsid w:val="00D252A0"/>
    <w:rsid w:val="00D37D1A"/>
    <w:rsid w:val="00D40A91"/>
    <w:rsid w:val="00D45599"/>
    <w:rsid w:val="00D65661"/>
    <w:rsid w:val="00D772D0"/>
    <w:rsid w:val="00D93A11"/>
    <w:rsid w:val="00DA44F1"/>
    <w:rsid w:val="00DB10AA"/>
    <w:rsid w:val="00DB212E"/>
    <w:rsid w:val="00DB7289"/>
    <w:rsid w:val="00DD105D"/>
    <w:rsid w:val="00DE09C8"/>
    <w:rsid w:val="00DF1227"/>
    <w:rsid w:val="00E01911"/>
    <w:rsid w:val="00E17B8B"/>
    <w:rsid w:val="00E8244F"/>
    <w:rsid w:val="00EF262C"/>
    <w:rsid w:val="00EF5893"/>
    <w:rsid w:val="00F56A7D"/>
    <w:rsid w:val="00F703CA"/>
    <w:rsid w:val="00FA113B"/>
    <w:rsid w:val="00FE3730"/>
    <w:rsid w:val="00FE4535"/>
    <w:rsid w:val="00FE4726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56A0"/>
  <w15:chartTrackingRefBased/>
  <w15:docId w15:val="{40BEBCA6-3C90-4190-9161-3212B78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27"/>
    <w:pPr>
      <w:spacing w:before="60" w:after="60" w:line="256" w:lineRule="auto"/>
      <w:jc w:val="both"/>
    </w:pPr>
    <w:rPr>
      <w:rFonts w:ascii="Cambria" w:hAnsi="Cambria"/>
      <w:kern w:val="16"/>
      <w14:ligatures w14:val="standardContextual"/>
      <w14:numForm w14:val="lining"/>
      <w14:numSpacing w14:val="tabular"/>
    </w:rPr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DF1227"/>
    <w:pPr>
      <w:numPr>
        <w:numId w:val="17"/>
      </w:numPr>
      <w:jc w:val="both"/>
      <w:outlineLvl w:val="0"/>
    </w:pPr>
    <w:rPr>
      <w:color w:val="5F0E32" w:themeColor="accent3" w:themeShade="80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F1227"/>
    <w:pPr>
      <w:keepNext/>
      <w:numPr>
        <w:ilvl w:val="1"/>
        <w:numId w:val="14"/>
      </w:numPr>
      <w:spacing w:before="40" w:line="257" w:lineRule="auto"/>
      <w:ind w:left="924" w:hanging="567"/>
      <w:outlineLvl w:val="1"/>
    </w:pPr>
    <w:rPr>
      <w:rFonts w:eastAsiaTheme="majorEastAsia" w:cstheme="majorBidi"/>
      <w:color w:val="8E154C" w:themeColor="accent3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7179"/>
    <w:rPr>
      <w:rFonts w:ascii="Cambria" w:hAnsi="Cambria"/>
      <w:color w:val="5F0E32" w:themeColor="accent3" w:themeShade="80"/>
      <w:kern w:val="16"/>
      <w:sz w:val="24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DF1227"/>
    <w:rPr>
      <w:rFonts w:ascii="Cambria" w:eastAsiaTheme="majorEastAsia" w:hAnsi="Cambria" w:cstheme="majorBidi"/>
      <w:color w:val="8E154C" w:themeColor="accent3" w:themeShade="BF"/>
      <w:kern w:val="16"/>
      <w:sz w:val="24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Titre">
    <w:name w:val="Title"/>
    <w:basedOn w:val="Normal"/>
    <w:next w:val="Normal"/>
    <w:link w:val="TitreCar"/>
    <w:autoRedefine/>
    <w:uiPriority w:val="6"/>
    <w:qFormat/>
    <w:rsid w:val="00FE4726"/>
    <w:pPr>
      <w:pBdr>
        <w:top w:val="double" w:sz="4" w:space="1" w:color="00C1C1" w:themeColor="accent5"/>
        <w:bottom w:val="double" w:sz="4" w:space="1" w:color="00C1C1" w:themeColor="accent5"/>
      </w:pBd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6"/>
    <w:rsid w:val="00FE4726"/>
    <w:rPr>
      <w:rFonts w:ascii="Cambria" w:eastAsiaTheme="majorEastAsia" w:hAnsi="Cambria" w:cstheme="majorBidi"/>
      <w:b/>
      <w:smallCaps/>
      <w:spacing w:val="-10"/>
      <w:kern w:val="28"/>
      <w:sz w:val="48"/>
      <w:szCs w:val="56"/>
      <w:lang w:eastAsia="zh-CN"/>
    </w:rPr>
  </w:style>
  <w:style w:type="paragraph" w:styleId="Paragraphedeliste">
    <w:name w:val="List Paragraph"/>
    <w:basedOn w:val="Normal"/>
    <w:autoRedefine/>
    <w:uiPriority w:val="34"/>
    <w:qFormat/>
    <w:rsid w:val="00E8244F"/>
    <w:pPr>
      <w:numPr>
        <w:numId w:val="11"/>
      </w:numPr>
      <w:spacing w:line="259" w:lineRule="auto"/>
      <w:contextualSpacing/>
      <w:jc w:val="left"/>
    </w:pPr>
  </w:style>
  <w:style w:type="paragraph" w:customStyle="1" w:styleId="Styledossiers">
    <w:name w:val="Style dossiers"/>
    <w:basedOn w:val="Normal"/>
    <w:qFormat/>
    <w:rsid w:val="009E419B"/>
    <w:pPr>
      <w:spacing w:after="240" w:line="360" w:lineRule="auto"/>
    </w:pPr>
    <w:rPr>
      <w:rFonts w:ascii="Times New Roman" w:hAnsi="Times New Roman"/>
      <w:sz w:val="24"/>
      <w:szCs w:val="24"/>
    </w:rPr>
  </w:style>
  <w:style w:type="paragraph" w:customStyle="1" w:styleId="Citations">
    <w:name w:val="Citations"/>
    <w:basedOn w:val="Styledossiers"/>
    <w:qFormat/>
    <w:rsid w:val="009E419B"/>
    <w:pPr>
      <w:spacing w:before="0" w:after="0"/>
      <w:ind w:left="709"/>
    </w:pPr>
    <w:rPr>
      <w:sz w:val="22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E419B"/>
    <w:pPr>
      <w:spacing w:after="100" w:line="360" w:lineRule="auto"/>
    </w:pPr>
    <w:rPr>
      <w:rFonts w:ascii="Times New Roman" w:hAnsi="Times New Roman"/>
      <w:sz w:val="24"/>
    </w:rPr>
  </w:style>
  <w:style w:type="paragraph" w:customStyle="1" w:styleId="Titre1dossier">
    <w:name w:val="Titre 1 dossier"/>
    <w:basedOn w:val="Normal"/>
    <w:qFormat/>
    <w:rsid w:val="006D0DDF"/>
    <w:pPr>
      <w:numPr>
        <w:numId w:val="22"/>
      </w:numPr>
      <w:spacing w:before="360" w:line="360" w:lineRule="auto"/>
    </w:pPr>
    <w:rPr>
      <w:rFonts w:ascii="Times New Roman" w:hAnsi="Times New Roman" w:cs="Times New Roman"/>
      <w:b/>
      <w:sz w:val="26"/>
      <w:szCs w:val="28"/>
    </w:rPr>
  </w:style>
  <w:style w:type="paragraph" w:customStyle="1" w:styleId="Titredossier2">
    <w:name w:val="Titre dossier 2"/>
    <w:basedOn w:val="Normal"/>
    <w:qFormat/>
    <w:rsid w:val="006D0DDF"/>
    <w:pPr>
      <w:numPr>
        <w:ilvl w:val="1"/>
        <w:numId w:val="22"/>
      </w:numPr>
      <w:spacing w:before="120" w:after="120" w:line="360" w:lineRule="auto"/>
    </w:pPr>
    <w:rPr>
      <w:rFonts w:ascii="Times New Roman" w:hAnsi="Times New Roman" w:cs="Times New Roman"/>
      <w:b/>
      <w:sz w:val="24"/>
    </w:rPr>
  </w:style>
  <w:style w:type="paragraph" w:customStyle="1" w:styleId="Titre3dossier">
    <w:name w:val="Titre 3 dossier"/>
    <w:basedOn w:val="Normal"/>
    <w:qFormat/>
    <w:rsid w:val="006D0DDF"/>
    <w:pPr>
      <w:numPr>
        <w:ilvl w:val="2"/>
        <w:numId w:val="22"/>
      </w:numPr>
      <w:spacing w:before="120" w:line="360" w:lineRule="auto"/>
    </w:pPr>
    <w:rPr>
      <w:rFonts w:ascii="Times New Roman" w:hAnsi="Times New Roman" w:cs="Times New Roman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4933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  <w14:numForm w14:val="default"/>
      <w14:numSpacing w14:val="default"/>
    </w:rPr>
  </w:style>
  <w:style w:type="character" w:styleId="lev">
    <w:name w:val="Strong"/>
    <w:basedOn w:val="Policepardfaut"/>
    <w:uiPriority w:val="22"/>
    <w:qFormat/>
    <w:rsid w:val="004933C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933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3C2"/>
    <w:rPr>
      <w:rFonts w:ascii="Cambria" w:hAnsi="Cambria"/>
      <w:kern w:val="16"/>
      <w14:ligatures w14:val="standardContextual"/>
      <w14:numForm w14:val="lining"/>
      <w14:numSpacing w14:val="tabular"/>
    </w:rPr>
  </w:style>
  <w:style w:type="paragraph" w:styleId="Pieddepage">
    <w:name w:val="footer"/>
    <w:basedOn w:val="Normal"/>
    <w:link w:val="PieddepageCar"/>
    <w:uiPriority w:val="99"/>
    <w:unhideWhenUsed/>
    <w:rsid w:val="004933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33C2"/>
    <w:rPr>
      <w:rFonts w:ascii="Cambria" w:hAnsi="Cambria"/>
      <w:kern w:val="16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F447-39BC-442E-AC21-930698A4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434</Words>
  <Characters>2393</Characters>
  <Application>Microsoft Office Word</Application>
  <DocSecurity>0</DocSecurity>
  <Lines>19</Lines>
  <Paragraphs>5</Paragraphs>
  <ScaleCrop>false</ScaleCrop>
  <Company>Université de Strasbourg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cft_utilisateur</dc:creator>
  <cp:keywords/>
  <dc:description/>
  <cp:lastModifiedBy>cft_utilisateur</cp:lastModifiedBy>
  <cp:revision>1</cp:revision>
  <dcterms:created xsi:type="dcterms:W3CDTF">2019-02-01T15:12:00Z</dcterms:created>
  <dcterms:modified xsi:type="dcterms:W3CDTF">2019-02-01T16:53:00Z</dcterms:modified>
</cp:coreProperties>
</file>